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35AE0" w14:textId="5768E8AC" w:rsidR="009B304B" w:rsidRDefault="009B304B" w:rsidP="009B304B">
      <w:pPr>
        <w:rPr>
          <w:rFonts w:ascii="Georgia" w:eastAsia="Times New Roman" w:hAnsi="Georgia" w:cs="Calibri"/>
          <w:color w:val="000000"/>
        </w:rPr>
      </w:pPr>
      <w:r>
        <w:rPr>
          <w:rFonts w:ascii="Georgia" w:eastAsia="Times New Roman" w:hAnsi="Georgia" w:cs="Calibri"/>
          <w:color w:val="000000"/>
        </w:rPr>
        <w:t>RGS Report on Interest Bearing Accounts</w:t>
      </w:r>
    </w:p>
    <w:p w14:paraId="0EDF5A77" w14:textId="77777777" w:rsidR="009B304B" w:rsidRDefault="009B304B" w:rsidP="009B304B">
      <w:pPr>
        <w:rPr>
          <w:rFonts w:ascii="Georgia" w:eastAsia="Times New Roman" w:hAnsi="Georgia" w:cs="Calibri"/>
          <w:color w:val="000000"/>
        </w:rPr>
      </w:pPr>
    </w:p>
    <w:p w14:paraId="4E0FDF82" w14:textId="40621C2A"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Unless this relates to certain special circumstances (e.g. an advance of grant funds), there are several options for public agencies to easily make decent returns.    These three meet all the legal requirements for public agencies and are widely used.   The rates they pay vary based on current returns.   We can also probably use this for the special purposes as well.</w:t>
      </w:r>
    </w:p>
    <w:p w14:paraId="51FE6088"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 </w:t>
      </w:r>
    </w:p>
    <w:p w14:paraId="26CA273C"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The Local Agency Investment Fund LAIF is widely used, but pays the lowest returns of this group.  (Currently 3.59%)</w:t>
      </w:r>
    </w:p>
    <w:p w14:paraId="344FFCDE"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 </w:t>
      </w:r>
    </w:p>
    <w:p w14:paraId="7BA4A2D7"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CAMP is run by a firm that specialized in Public Agency Investment (Currently 5.5%)</w:t>
      </w:r>
    </w:p>
    <w:p w14:paraId="76081C45"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 </w:t>
      </w:r>
    </w:p>
    <w:p w14:paraId="3031812C"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CLASS, (my recommendation) is run by the California Special Districts Association and League of California Cities.  (Currently 5.5518%)</w:t>
      </w:r>
    </w:p>
    <w:p w14:paraId="7635436E"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 </w:t>
      </w:r>
    </w:p>
    <w:p w14:paraId="7468D9FB" w14:textId="44FC481F"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 xml:space="preserve">These are all </w:t>
      </w:r>
      <w:r>
        <w:rPr>
          <w:rFonts w:ascii="Georgia" w:eastAsia="Times New Roman" w:hAnsi="Georgia" w:cs="Calibri"/>
          <w:color w:val="000000"/>
        </w:rPr>
        <w:t>short-term</w:t>
      </w:r>
      <w:r w:rsidRPr="009B304B">
        <w:rPr>
          <w:rFonts w:ascii="Georgia" w:eastAsia="Times New Roman" w:hAnsi="Georgia" w:cs="Calibri"/>
          <w:color w:val="000000"/>
        </w:rPr>
        <w:t xml:space="preserve"> investments,  funds available </w:t>
      </w:r>
      <w:r>
        <w:rPr>
          <w:rFonts w:ascii="Georgia" w:eastAsia="Times New Roman" w:hAnsi="Georgia" w:cs="Calibri"/>
          <w:color w:val="000000"/>
        </w:rPr>
        <w:t xml:space="preserve">the </w:t>
      </w:r>
      <w:r w:rsidRPr="009B304B">
        <w:rPr>
          <w:rFonts w:ascii="Georgia" w:eastAsia="Times New Roman" w:hAnsi="Georgia" w:cs="Calibri"/>
          <w:color w:val="000000"/>
        </w:rPr>
        <w:t>next day if requested by a set time the previous business day.  Funds are moved electronically to and from the District Bank accounts.</w:t>
      </w:r>
    </w:p>
    <w:p w14:paraId="757F584F"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 </w:t>
      </w:r>
    </w:p>
    <w:p w14:paraId="316BBEB8" w14:textId="77777777" w:rsidR="009B304B" w:rsidRPr="009B304B" w:rsidRDefault="009B304B" w:rsidP="009B304B">
      <w:pPr>
        <w:rPr>
          <w:rFonts w:ascii="Calibri" w:eastAsia="Times New Roman" w:hAnsi="Calibri" w:cs="Calibri"/>
          <w:color w:val="000000"/>
          <w:sz w:val="22"/>
          <w:szCs w:val="22"/>
        </w:rPr>
      </w:pPr>
      <w:r w:rsidRPr="009B304B">
        <w:rPr>
          <w:rFonts w:ascii="Georgia" w:eastAsia="Times New Roman" w:hAnsi="Georgia" w:cs="Calibri"/>
          <w:color w:val="000000"/>
        </w:rPr>
        <w:t>I can answer more questions and provide more detail – if you need to craft this into a formal report</w:t>
      </w:r>
    </w:p>
    <w:p w14:paraId="7956B399" w14:textId="77777777" w:rsidR="00D06504" w:rsidRDefault="00D06504"/>
    <w:sectPr w:rsidR="00D06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4B"/>
    <w:rsid w:val="009B304B"/>
    <w:rsid w:val="00D0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5759E"/>
  <w15:chartTrackingRefBased/>
  <w15:docId w15:val="{43A67A47-444A-8D40-BC7B-A576F93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83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2023-10-30T21:55:00Z</dcterms:created>
  <dcterms:modified xsi:type="dcterms:W3CDTF">2023-10-30T21:57:00Z</dcterms:modified>
</cp:coreProperties>
</file>